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8D" w:rsidRPr="00F45BCB" w:rsidRDefault="000E528D" w:rsidP="000E52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BCB">
        <w:rPr>
          <w:rFonts w:ascii="Times New Roman" w:eastAsia="Times New Roman" w:hAnsi="Times New Roman" w:cs="Times New Roman"/>
          <w:b/>
          <w:sz w:val="24"/>
          <w:szCs w:val="24"/>
        </w:rPr>
        <w:t>Рабочие программы модулей (дисциплин)</w:t>
      </w:r>
    </w:p>
    <w:p w:rsidR="000E528D" w:rsidRPr="00F45BCB" w:rsidRDefault="000E528D" w:rsidP="000E52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00"/>
      </w:tblPr>
      <w:tblGrid>
        <w:gridCol w:w="2569"/>
        <w:gridCol w:w="9425"/>
        <w:gridCol w:w="946"/>
        <w:gridCol w:w="1528"/>
        <w:gridCol w:w="1452"/>
      </w:tblGrid>
      <w:tr w:rsidR="000E528D" w:rsidRPr="00F45BCB" w:rsidTr="00103B03">
        <w:trPr>
          <w:trHeight w:val="1215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модулей, тем</w:t>
            </w:r>
          </w:p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обучения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0E528D" w:rsidRPr="00F45BCB" w:rsidTr="00103B03">
        <w:trPr>
          <w:trHeight w:hRule="exact" w:val="602"/>
        </w:trPr>
        <w:tc>
          <w:tcPr>
            <w:tcW w:w="40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1215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1.1.Основы профессиональной деятельности визажиста</w:t>
            </w:r>
          </w:p>
        </w:tc>
        <w:tc>
          <w:tcPr>
            <w:tcW w:w="32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Профессия визажиста. Профессиональный стандарт «Специалист по предоставлению </w:t>
            </w:r>
            <w:proofErr w:type="spellStart"/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визажных</w:t>
            </w:r>
            <w:proofErr w:type="spellEnd"/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услуг». Трудовые функции визажиста и возможные наименования должностей.</w:t>
            </w:r>
            <w:r w:rsidRPr="00F45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Требования к прохождению обязательных предварительных (при поступлении на работу) и периодических медицинских осмотров. Трудовые функции визажиста. Внешний вид визажиста.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визажиста. Нравственные требования к профессиональному поведению. Выход из конфликта. Сущность профессионального поведения работника контактной зоны.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1215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1.2.Основы санитарии и гигиены. Организация рабочего места.</w:t>
            </w:r>
          </w:p>
        </w:tc>
        <w:tc>
          <w:tcPr>
            <w:tcW w:w="32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косметологические услуги. Гигиенические требования к рабочей одежде, уход и правила хранения. Рабочее место визажиста. Дезинфекция и стерилизация. Составы и концентрация растворов. Содержание подготовительных и заключительных работ. Инструменты, приспособления и расходные материалы. Правила хранения инструментов, белья и материалов. Кровоостанавливающие средства, их виды, характеристика свойств. Самопомощь и первая доврачебная помощь при порезах, ушибах. Личная гигиена. Гигиена тела, одежды.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hRule="exact" w:val="796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1.3.Основы анатомии и физиологии кожи и ее придатков</w:t>
            </w:r>
          </w:p>
        </w:tc>
        <w:tc>
          <w:tcPr>
            <w:tcW w:w="32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Череп. Кости и ориентиры лицевого черепа. Основные сведения о мимических и жевательных мышцах лица. Форма лица. Строение и функции кожи. Строение волоса. Фазы роста. Химические свойства волоса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28D" w:rsidRPr="00F45BCB" w:rsidRDefault="000E528D" w:rsidP="00103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528D" w:rsidRPr="00F45BCB" w:rsidRDefault="000E528D" w:rsidP="00103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528D" w:rsidRPr="00F45BCB" w:rsidRDefault="000E528D" w:rsidP="00103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hRule="exact" w:val="703"/>
        </w:trPr>
        <w:tc>
          <w:tcPr>
            <w:tcW w:w="807" w:type="pct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Колористические типы внешности. Пропорции лица и его детали. Основы композиции для визажиста.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355"/>
        </w:trPr>
        <w:tc>
          <w:tcPr>
            <w:tcW w:w="376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 </w:t>
            </w: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коррекция бровей</w:t>
            </w: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6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2.1. </w:t>
            </w: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бровей</w:t>
            </w: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бровей. Строение бровей. Идеальная форма бровей. Опорные точки. Части Ось брови. Значение бровей в макияже. Формы бровей. Архитектура и правила построения бровей. Правила подбора цвета бровей. Коррекция лица с помощью формы бровей. Коррекция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6"/>
        </w:trPr>
        <w:tc>
          <w:tcPr>
            <w:tcW w:w="80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коррекции лица различной формой бровей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6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2.2.</w:t>
            </w: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Де макияж лица</w:t>
            </w: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расходные материалы для де макияжа лица. Норма расхода. Приспособления, используемые при де макияже.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6"/>
        </w:trPr>
        <w:tc>
          <w:tcPr>
            <w:tcW w:w="40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практика: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рабочего места. Выполнение де макияжа глазничной области лица. Заключительные работы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6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Тема 2.3.</w:t>
            </w: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бровей</w:t>
            </w: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Техники коррекции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депиляционной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бровей. Декоративная коррекция бровей. Сведения о перманентной коррекции бровей. Выбор инструментов и материалов. Правила одновременной работы несколькими инструментами, приемы держания ножниц, кистей, аппликаторов, карандашей.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6"/>
        </w:trPr>
        <w:tc>
          <w:tcPr>
            <w:tcW w:w="40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практика: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работы. Определение индивидуальных особенностей внешности клиента, его потребностей. 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Визуальный осмотр, оценка и анализ состояния поверхности кожи клиента. Подбор индивидуальной формы бровей. Определение стоимости и согласование услуги с клиентом.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Коррекция бровей при помощи косметического пинцета, горячего воска, с помощью нити. Консультирование клиента по выполнению коррекции бровей в домашних условиях. Заключительные работы. Зачёт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widowControl w:val="0"/>
              <w:tabs>
                <w:tab w:val="left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0E528D" w:rsidRPr="00F45BCB" w:rsidTr="00103B03">
        <w:trPr>
          <w:trHeight w:val="246"/>
        </w:trPr>
        <w:tc>
          <w:tcPr>
            <w:tcW w:w="40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</w:t>
            </w: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Окрашивание бровей и ресниц с использованием различных техник</w:t>
            </w: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378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3.1.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Материалы и профессиональные средства  для окрашивания бровей и ресниц</w:t>
            </w: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Средства для окрашивания бровей и ресниц. Нормы расхода парфюмерно-косметической продукции и используемых материалов. Виды красителей. Содержание беседы перед окрашиванием. Технология проведения теста на чувствительность кожи.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Противопоказания к окрашиванию бровей и ресниц.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Кисти для окрашивания бровей и ресниц. Уход за кистями. Виды белья: назначение, правила использования, требования к белью, условия хранения.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378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3.2.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Технология окрашивания бровей и ресниц</w:t>
            </w: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Технология перманентного окрашивания бровей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перманентного,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полуперманентного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окрашивания ресниц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Технология окрашивания бровей и ресниц с применением хны. Меры предосторожности при использовании хны. Смешивание оттенков хны в соответствии с пигментом волос бровей и ресниц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378"/>
        </w:trPr>
        <w:tc>
          <w:tcPr>
            <w:tcW w:w="80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Визуальный осмотр, оценка и анализ состояния поверхности кожи клиента на наличие противопоказаний для оказания услуги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де макияжу глазничной области лица. Выполнение окрашивания бровей и ресниц с использованием</w:t>
            </w:r>
            <w:r w:rsidRPr="00F45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F45B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1695"/>
        </w:trPr>
        <w:tc>
          <w:tcPr>
            <w:tcW w:w="40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Учебная практика: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работы. Встреча клиента. Согласование услуги и определение ее стоимости. Подбор профессиональных средств и материалов для окрашивания бровей и ресниц. Подбор красителя в соответствии с пигментом волос бровей и ресниц. 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теста на аллергическую реакцию кожи. Де макияж глазничной области лица. 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Выполнение окрашивания бровей и ресниц с использованием различных технологий.  Заключительные работы.  Зачёт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378"/>
        </w:trPr>
        <w:tc>
          <w:tcPr>
            <w:tcW w:w="40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</w:t>
            </w: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салонного макияжа</w:t>
            </w: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477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4.1. </w:t>
            </w: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</w:t>
            </w: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материалы  для выполнения салонного макияжа</w:t>
            </w: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инструменты для макияжа.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Состав и свойства декоративной косметики, используемой при выполнении салонных видов макияжа. Виды и классификация сре</w:t>
            </w:r>
            <w:proofErr w:type="gram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я макияжа. Приспособления, используемые при макияже. Вспомогательные средства для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визажа</w:t>
            </w:r>
            <w:proofErr w:type="spellEnd"/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90"/>
        </w:trPr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Базы для лица, век, ресниц, губ. Жирные, жидкие и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кремообразные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Подбор профессиональных средств и материалов для выполнения салонного макияжа. Номы расхода декоративной косметики и используемых материалов при выполнении салонных видов макияжа.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90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4.2.</w:t>
            </w:r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Цветотипы и </w:t>
            </w:r>
            <w:proofErr w:type="spellStart"/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5BCB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визаже</w:t>
            </w:r>
            <w:proofErr w:type="spellEnd"/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композиции и рисунка. Контраст и нюанс. Создание объёма на лице. Контраст текстур, используемых в макияже.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визаже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. Подбор цвета в макияже. Изобразительные средства макияжа и правила их применения. Направления моды в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визажном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искусстве.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Цветотипы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. Сезонная теория в макияже.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90"/>
        </w:trPr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Идеальные пропорции лица.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Цветокоррекция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лица.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90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4.3.</w:t>
            </w:r>
            <w:r w:rsidRPr="00F4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макияжа</w:t>
            </w: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демакияжа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Техники нанесения салонного макияжа: дневного, вечернего, возрастного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90"/>
        </w:trPr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вечернего макияжа. Выполнение свадебного макияжа. Выполнение возрастного макияжа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90"/>
        </w:trPr>
        <w:tc>
          <w:tcPr>
            <w:tcW w:w="40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Учебная практика: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Определение колористического типа и анатомических особенностей лица клиента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кожи для нанесения декоративной косметики и выполнение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демакияжа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видов салонного макияжа с коррекцией овала лица и его деталей. Зачёт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90"/>
        </w:trPr>
        <w:tc>
          <w:tcPr>
            <w:tcW w:w="40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Модуль  </w:t>
            </w: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 клиента по выполнению макияжа в домашних условиях»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528D" w:rsidRPr="00F45BCB" w:rsidTr="00103B03">
        <w:trPr>
          <w:trHeight w:val="290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5.1.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средства для выполнения макияжа</w:t>
            </w: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Базы под макияж, жирные, жидкие и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кремообразные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макияжа (корректоры,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консиллеры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, тональные средства жирный грим, румяна,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хайлайтеры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шиммеры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, тени для век, губная помада, блески для губ, подводки для глаз, карандаши для глаз, карандаши для бровей, карандаши для губ, тушь для ресниц, Вспомогательные средства для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визаж</w:t>
            </w:r>
            <w:proofErr w:type="gram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 блестки, стразы, накладные ресницы).  Рекомендации по совмещению в макияже жирных, жидких и сухих текстур. Кисти для нанесения макияжа.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. Палитры для макияжа. Средства для гигиенического ухода за кожей. Специальные очищающие средства для кожи, классификация по составу и назначению, свойства. Ассортимент очищающих средств кожи отечественных и зарубежных фирм. Требования к качеству очищающих средств. Назначение</w:t>
            </w:r>
            <w:r w:rsidRPr="00F45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F45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Pr="00F45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косметики. Состав</w:t>
            </w:r>
            <w:r w:rsidRPr="00F45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F45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Pr="00F45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косметики. Принципы</w:t>
            </w:r>
            <w:r w:rsidRPr="00F45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45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5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Pr="00F45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 xml:space="preserve">косметикой. Контрасты и нюансы в </w:t>
            </w:r>
            <w:proofErr w:type="spellStart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визаже</w:t>
            </w:r>
            <w:proofErr w:type="spellEnd"/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90"/>
        </w:trPr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профессиональной косметики в соответствии с индивидуальными особенностями и пожеланиями клиента. Консультирование клиента по выбору декоративной косметики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28D" w:rsidRPr="00F45BCB" w:rsidTr="00103B03">
        <w:trPr>
          <w:trHeight w:val="290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5.2.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Выполнение макияжа в домашних условиях (самоподготовка)</w:t>
            </w: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F45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45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макияжа. Разновидности</w:t>
            </w:r>
            <w:r w:rsidRPr="00F45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дневного</w:t>
            </w:r>
            <w:r w:rsidRPr="00F45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макияжа. Разновидности</w:t>
            </w:r>
            <w:r w:rsidRPr="00F45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торжественного</w:t>
            </w:r>
            <w:r w:rsidRPr="00F45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макияжа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528D" w:rsidRPr="00F45BCB" w:rsidTr="00103B03">
        <w:trPr>
          <w:trHeight w:val="290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B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528D" w:rsidRPr="00F45BCB" w:rsidRDefault="000E528D" w:rsidP="00103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sz w:val="24"/>
                <w:szCs w:val="24"/>
              </w:rPr>
              <w:t>Проверка теоретических знаний и практических навыков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28D" w:rsidRPr="00F45BCB" w:rsidRDefault="000E528D" w:rsidP="00103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FB1E4A"/>
    <w:sectPr w:rsidR="00FB1E4A" w:rsidSect="000E52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E528D"/>
    <w:rsid w:val="000E528D"/>
    <w:rsid w:val="00310661"/>
    <w:rsid w:val="00804888"/>
    <w:rsid w:val="00B81D5F"/>
    <w:rsid w:val="00D512FE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8D"/>
    <w:pPr>
      <w:spacing w:after="160" w:line="259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2024-01-23T12:02:00Z</dcterms:created>
  <dcterms:modified xsi:type="dcterms:W3CDTF">2024-01-23T12:03:00Z</dcterms:modified>
</cp:coreProperties>
</file>